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67AB" w:rsidRDefault="00B567AB">
      <w:pPr>
        <w:widowControl w:val="0"/>
        <w:spacing w:after="0"/>
        <w:rPr>
          <w:rFonts w:ascii="Arial" w:eastAsia="Arial" w:hAnsi="Arial" w:cs="Arial"/>
        </w:rPr>
      </w:pPr>
      <w:bookmarkStart w:id="0" w:name="_GoBack"/>
      <w:bookmarkEnd w:id="0"/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50"/>
        <w:gridCol w:w="5670"/>
        <w:gridCol w:w="2980"/>
      </w:tblGrid>
      <w:tr w:rsidR="004E601E" w:rsidTr="00A35FF2">
        <w:tc>
          <w:tcPr>
            <w:tcW w:w="7820" w:type="dxa"/>
            <w:gridSpan w:val="2"/>
            <w:shd w:val="clear" w:color="auto" w:fill="2F5496" w:themeFill="accent5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4E601E" w:rsidP="009A2E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807D70">
              <w:rPr>
                <w:color w:val="FFFFFF" w:themeColor="background1"/>
                <w:sz w:val="20"/>
                <w:szCs w:val="20"/>
              </w:rPr>
              <w:t>Portfolio Components</w:t>
            </w:r>
          </w:p>
        </w:tc>
        <w:tc>
          <w:tcPr>
            <w:tcW w:w="2980" w:type="dxa"/>
            <w:shd w:val="clear" w:color="auto" w:fill="2F5496" w:themeFill="accent5" w:themeFillShade="BF"/>
          </w:tcPr>
          <w:p w:rsidR="004E601E" w:rsidRPr="00986779" w:rsidRDefault="004E601E" w:rsidP="00776B7B">
            <w:pPr>
              <w:widowControl w:val="0"/>
              <w:spacing w:after="0" w:line="240" w:lineRule="auto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Reviewers:</w:t>
            </w:r>
          </w:p>
        </w:tc>
      </w:tr>
      <w:tr w:rsidR="004E601E" w:rsidTr="00A35FF2">
        <w:tc>
          <w:tcPr>
            <w:tcW w:w="215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4E601E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Requirements</w:t>
            </w:r>
          </w:p>
        </w:tc>
        <w:tc>
          <w:tcPr>
            <w:tcW w:w="567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4E60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B4C6E7" w:themeFill="accent5" w:themeFillTint="66"/>
          </w:tcPr>
          <w:p w:rsidR="004E601E" w:rsidRDefault="004E60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E601E" w:rsidTr="00A35FF2"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2F21B0" w:rsidP="002F21B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Overall </w:t>
            </w:r>
          </w:p>
        </w:tc>
        <w:tc>
          <w:tcPr>
            <w:tcW w:w="56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2F21B0" w:rsidP="00A35FF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Portfolio is submitted every third year, or when requesting promotion. </w:t>
            </w:r>
            <w:r w:rsidR="004E601E">
              <w:rPr>
                <w:sz w:val="20"/>
                <w:szCs w:val="20"/>
              </w:rPr>
              <w:t xml:space="preserve">Portfolio </w:t>
            </w:r>
            <w:r w:rsidR="00A35FF2">
              <w:rPr>
                <w:sz w:val="20"/>
                <w:szCs w:val="20"/>
              </w:rPr>
              <w:t>should include a</w:t>
            </w:r>
            <w:r w:rsidR="004E601E">
              <w:rPr>
                <w:sz w:val="20"/>
                <w:szCs w:val="20"/>
              </w:rPr>
              <w:t xml:space="preserve"> collection of material depicting</w:t>
            </w:r>
            <w:r w:rsidR="00A35FF2">
              <w:rPr>
                <w:sz w:val="20"/>
                <w:szCs w:val="20"/>
              </w:rPr>
              <w:t xml:space="preserve"> the</w:t>
            </w:r>
            <w:r w:rsidR="004E601E">
              <w:rPr>
                <w:sz w:val="20"/>
                <w:szCs w:val="20"/>
              </w:rPr>
              <w:t xml:space="preserve"> nature and quality of candidate’s teaching and students’ learning.</w:t>
            </w:r>
          </w:p>
        </w:tc>
        <w:tc>
          <w:tcPr>
            <w:tcW w:w="2980" w:type="dxa"/>
          </w:tcPr>
          <w:p w:rsidR="004E601E" w:rsidRDefault="002F21B0" w:rsidP="00A35FF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the framing statements to understand the case developed by the candidate.  Review should indicate sources of evidence on which the evaluation </w:t>
            </w:r>
            <w:proofErr w:type="gramStart"/>
            <w:r>
              <w:rPr>
                <w:sz w:val="20"/>
                <w:szCs w:val="20"/>
              </w:rPr>
              <w:t>is based</w:t>
            </w:r>
            <w:proofErr w:type="gramEnd"/>
            <w:r>
              <w:rPr>
                <w:sz w:val="20"/>
                <w:szCs w:val="20"/>
              </w:rPr>
              <w:t>.</w:t>
            </w:r>
            <w:r w:rsidR="00A35FF2">
              <w:rPr>
                <w:sz w:val="20"/>
                <w:szCs w:val="20"/>
              </w:rPr>
              <w:t xml:space="preserve"> (Personnel Committees review fixed term portfolios when candidates request promotion.)</w:t>
            </w:r>
          </w:p>
        </w:tc>
      </w:tr>
      <w:tr w:rsidR="002F21B0" w:rsidTr="00A35FF2"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1B0" w:rsidRDefault="002F21B0" w:rsidP="002F21B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Vita/Resume</w:t>
            </w:r>
          </w:p>
        </w:tc>
        <w:tc>
          <w:tcPr>
            <w:tcW w:w="56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1B0" w:rsidRPr="00BD72E4" w:rsidRDefault="002F21B0" w:rsidP="00DE78DE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 current curriculum vita</w:t>
            </w:r>
            <w:r w:rsidR="00A35FF2"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:rsidR="002F21B0" w:rsidRDefault="002F21B0" w:rsidP="002F21B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F21B0" w:rsidTr="00A35FF2"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1B0" w:rsidRDefault="002F21B0" w:rsidP="002F21B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Review recommendations</w:t>
            </w:r>
          </w:p>
        </w:tc>
        <w:tc>
          <w:tcPr>
            <w:tcW w:w="56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F21B0" w:rsidRDefault="002F21B0" w:rsidP="002F21B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all previous personnel review recommendations made during career at EOU (CPC, FPC, Dean, Provost, President)</w:t>
            </w:r>
          </w:p>
        </w:tc>
        <w:tc>
          <w:tcPr>
            <w:tcW w:w="2980" w:type="dxa"/>
          </w:tcPr>
          <w:p w:rsidR="002F21B0" w:rsidRDefault="002F21B0" w:rsidP="002F21B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E601E" w:rsidTr="00A35FF2">
        <w:tc>
          <w:tcPr>
            <w:tcW w:w="215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4E601E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Instruction</w:t>
            </w:r>
          </w:p>
        </w:tc>
        <w:tc>
          <w:tcPr>
            <w:tcW w:w="567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4E60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B4C6E7" w:themeFill="accent5" w:themeFillTint="66"/>
          </w:tcPr>
          <w:p w:rsidR="004E601E" w:rsidRDefault="004E601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E601E" w:rsidTr="00A35FF2"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4E601E" w:rsidP="005D3D2B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Framing statement should provide reflective statement on:</w:t>
            </w:r>
          </w:p>
        </w:tc>
        <w:tc>
          <w:tcPr>
            <w:tcW w:w="56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6230" w:rsidRDefault="00506230" w:rsidP="00506230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framing statement describes the candidate’s teaching roles and responsibilities along with reflective statement describing teaching philosophy and instructional strate</w:t>
            </w:r>
            <w:r w:rsidR="001072D6">
              <w:rPr>
                <w:sz w:val="20"/>
                <w:szCs w:val="20"/>
              </w:rPr>
              <w:t>gies, and reflection on syllabi, assessments, interaction with students and evaluations.</w:t>
            </w:r>
            <w:r w:rsidR="00AE54A5">
              <w:rPr>
                <w:sz w:val="20"/>
                <w:szCs w:val="20"/>
              </w:rPr>
              <w:t xml:space="preserve">  See handbook </w:t>
            </w:r>
            <w:r w:rsidR="00A35FF2">
              <w:rPr>
                <w:sz w:val="20"/>
                <w:szCs w:val="20"/>
              </w:rPr>
              <w:t>for additional</w:t>
            </w:r>
            <w:r w:rsidR="001072D6">
              <w:rPr>
                <w:sz w:val="20"/>
                <w:szCs w:val="20"/>
              </w:rPr>
              <w:t xml:space="preserve"> </w:t>
            </w:r>
            <w:r w:rsidR="00AE54A5">
              <w:rPr>
                <w:sz w:val="20"/>
                <w:szCs w:val="20"/>
              </w:rPr>
              <w:t>elements</w:t>
            </w:r>
            <w:r>
              <w:rPr>
                <w:sz w:val="20"/>
                <w:szCs w:val="20"/>
              </w:rPr>
              <w:t xml:space="preserve"> to </w:t>
            </w:r>
            <w:proofErr w:type="gramStart"/>
            <w:r>
              <w:rPr>
                <w:sz w:val="20"/>
                <w:szCs w:val="20"/>
              </w:rPr>
              <w:t>be addressed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4E601E" w:rsidRDefault="004E601E" w:rsidP="00506230">
            <w:pPr>
              <w:widowControl w:val="0"/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2980" w:type="dxa"/>
          </w:tcPr>
          <w:p w:rsidR="004E601E" w:rsidRPr="00506230" w:rsidRDefault="00506230" w:rsidP="0050623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how candidates demonstrate the characteristics of effective teaching. Clear documentation of diligence in the teaching role should be evident.</w:t>
            </w:r>
          </w:p>
        </w:tc>
      </w:tr>
      <w:tr w:rsidR="00506230" w:rsidTr="00A35FF2"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6230" w:rsidRDefault="00506230" w:rsidP="0050623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Syllabi</w:t>
            </w:r>
          </w:p>
        </w:tc>
        <w:tc>
          <w:tcPr>
            <w:tcW w:w="56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6230" w:rsidRDefault="00506230" w:rsidP="00506230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At least 3 representative syllabi from past two years including all</w:t>
            </w:r>
            <w:r w:rsidR="001072D6">
              <w:rPr>
                <w:sz w:val="20"/>
                <w:szCs w:val="20"/>
              </w:rPr>
              <w:t xml:space="preserve"> level of courses as applicable to be evaluated using criteria stated in the handbook.</w:t>
            </w:r>
          </w:p>
        </w:tc>
        <w:tc>
          <w:tcPr>
            <w:tcW w:w="2980" w:type="dxa"/>
          </w:tcPr>
          <w:p w:rsidR="00506230" w:rsidRPr="00506230" w:rsidRDefault="00506230" w:rsidP="0050623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criteria as outlined in the handbook</w:t>
            </w:r>
          </w:p>
        </w:tc>
      </w:tr>
      <w:tr w:rsidR="00506230" w:rsidTr="00A35FF2"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6230" w:rsidRDefault="00506230" w:rsidP="0050623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Assessments</w:t>
            </w:r>
          </w:p>
        </w:tc>
        <w:tc>
          <w:tcPr>
            <w:tcW w:w="56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6230" w:rsidRDefault="00506230" w:rsidP="00506230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a set of assessments utilized in each course</w:t>
            </w:r>
            <w:r w:rsidR="001072D6">
              <w:rPr>
                <w:sz w:val="20"/>
                <w:szCs w:val="20"/>
              </w:rPr>
              <w:t>, to be evaluated using criteria stated in the handbook.</w:t>
            </w:r>
          </w:p>
          <w:p w:rsidR="00506230" w:rsidRDefault="00506230" w:rsidP="00506230">
            <w:pPr>
              <w:widowControl w:val="0"/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2980" w:type="dxa"/>
          </w:tcPr>
          <w:p w:rsidR="00506230" w:rsidRPr="007F0B4E" w:rsidRDefault="00506230" w:rsidP="0050623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criteria as described in the handbook</w:t>
            </w:r>
          </w:p>
        </w:tc>
      </w:tr>
      <w:tr w:rsidR="00D1585E" w:rsidTr="00A35FF2"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585E" w:rsidRDefault="00D1585E" w:rsidP="00D1585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Sample faculty-student interaction</w:t>
            </w:r>
          </w:p>
        </w:tc>
        <w:tc>
          <w:tcPr>
            <w:tcW w:w="56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585E" w:rsidRDefault="00D1585E" w:rsidP="00D1585E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Candidate submits representative sampling of email logs, discussion interaction, assignment feedback or other documentation of interaction with students. </w:t>
            </w:r>
          </w:p>
          <w:p w:rsidR="00D1585E" w:rsidRDefault="00D1585E" w:rsidP="00D1585E">
            <w:pPr>
              <w:widowControl w:val="0"/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2980" w:type="dxa"/>
          </w:tcPr>
          <w:p w:rsidR="00D1585E" w:rsidRDefault="00D1585E" w:rsidP="00D1585E">
            <w:pPr>
              <w:pStyle w:val="ListParagraph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Evaluate using criteria outlined in the handbook.</w:t>
            </w:r>
          </w:p>
        </w:tc>
      </w:tr>
      <w:tr w:rsidR="00D1585E" w:rsidTr="00A35FF2"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585E" w:rsidRDefault="00D1585E" w:rsidP="00D1585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Evaluations</w:t>
            </w:r>
          </w:p>
        </w:tc>
        <w:tc>
          <w:tcPr>
            <w:tcW w:w="56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1585E" w:rsidRDefault="001072D6" w:rsidP="001072D6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university approved student evaluations from</w:t>
            </w:r>
            <w:r w:rsidR="00D1585E">
              <w:rPr>
                <w:sz w:val="20"/>
                <w:szCs w:val="20"/>
              </w:rPr>
              <w:t xml:space="preserve"> all courses with enrollments of 3+ students from every academic term; may be supplemented with evaluations designed by instructor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80" w:type="dxa"/>
          </w:tcPr>
          <w:p w:rsidR="00D1585E" w:rsidRPr="007F0B4E" w:rsidRDefault="00A35FF2" w:rsidP="00A35FF2">
            <w:pPr>
              <w:pStyle w:val="ListParagraph"/>
              <w:widowControl w:val="0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evaluations in context of response rate.</w:t>
            </w:r>
          </w:p>
        </w:tc>
      </w:tr>
      <w:tr w:rsidR="004E601E" w:rsidTr="00A35FF2">
        <w:tc>
          <w:tcPr>
            <w:tcW w:w="215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1072D6" w:rsidP="007F0B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Promotion</w:t>
            </w:r>
          </w:p>
        </w:tc>
        <w:tc>
          <w:tcPr>
            <w:tcW w:w="567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4E601E" w:rsidP="007F0B4E">
            <w:pPr>
              <w:widowControl w:val="0"/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2980" w:type="dxa"/>
            <w:shd w:val="clear" w:color="auto" w:fill="B4C6E7" w:themeFill="accent5" w:themeFillTint="66"/>
          </w:tcPr>
          <w:p w:rsidR="004E601E" w:rsidRPr="001072D6" w:rsidRDefault="004E601E" w:rsidP="001072D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E601E" w:rsidTr="00A35FF2">
        <w:tc>
          <w:tcPr>
            <w:tcW w:w="215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Default="004E601E" w:rsidP="007F0B4E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601E" w:rsidRPr="00246000" w:rsidRDefault="00642DF9" w:rsidP="00642DF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42DF9">
              <w:rPr>
                <w:sz w:val="20"/>
                <w:szCs w:val="20"/>
              </w:rPr>
              <w:t xml:space="preserve">A case for promotion </w:t>
            </w:r>
            <w:proofErr w:type="gramStart"/>
            <w:r w:rsidRPr="00642DF9">
              <w:rPr>
                <w:sz w:val="20"/>
                <w:szCs w:val="20"/>
              </w:rPr>
              <w:t>must be built</w:t>
            </w:r>
            <w:proofErr w:type="gramEnd"/>
            <w:r w:rsidRPr="00642DF9">
              <w:rPr>
                <w:sz w:val="20"/>
                <w:szCs w:val="20"/>
              </w:rPr>
              <w:t xml:space="preserve"> on special qualities over and above basic competence, which so distinguish the candidate and justify his or her promotion</w:t>
            </w:r>
            <w:r>
              <w:t xml:space="preserve">. </w:t>
            </w:r>
            <w:r>
              <w:rPr>
                <w:sz w:val="20"/>
                <w:szCs w:val="20"/>
              </w:rPr>
              <w:t xml:space="preserve">See handbook for criteria for promotion from Instructor to Senior Instructor </w:t>
            </w:r>
            <w:r w:rsidR="00A35FF2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and from Senior Instructor I to Senior Instructor II.</w:t>
            </w:r>
            <w:r w:rsidR="004E601E" w:rsidRPr="00642D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0" w:type="dxa"/>
          </w:tcPr>
          <w:p w:rsidR="004E601E" w:rsidRDefault="00943E30" w:rsidP="000D1C2A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 to handbook criteria upon evaluation.</w:t>
            </w:r>
          </w:p>
        </w:tc>
      </w:tr>
    </w:tbl>
    <w:p w:rsidR="00B567AB" w:rsidRDefault="00B567AB"/>
    <w:sectPr w:rsidR="00B567AB">
      <w:headerReference w:type="default" r:id="rId7"/>
      <w:pgSz w:w="12240" w:h="15840"/>
      <w:pgMar w:top="431" w:right="720" w:bottom="576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F7" w:rsidRDefault="0077033E">
      <w:pPr>
        <w:spacing w:after="0" w:line="240" w:lineRule="auto"/>
      </w:pPr>
      <w:r>
        <w:separator/>
      </w:r>
    </w:p>
  </w:endnote>
  <w:endnote w:type="continuationSeparator" w:id="0">
    <w:p w:rsidR="006739F7" w:rsidRDefault="0077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F7" w:rsidRDefault="0077033E">
      <w:pPr>
        <w:spacing w:after="0" w:line="240" w:lineRule="auto"/>
      </w:pPr>
      <w:r>
        <w:separator/>
      </w:r>
    </w:p>
  </w:footnote>
  <w:footnote w:type="continuationSeparator" w:id="0">
    <w:p w:rsidR="006739F7" w:rsidRDefault="0077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AB" w:rsidRDefault="002F21B0">
    <w:pPr>
      <w:tabs>
        <w:tab w:val="center" w:pos="4680"/>
        <w:tab w:val="right" w:pos="9360"/>
      </w:tabs>
      <w:spacing w:before="720"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Retention, Tenure, Promotion Handbook_</w:t>
    </w:r>
    <w:proofErr w:type="gramStart"/>
    <w:r>
      <w:rPr>
        <w:b/>
        <w:sz w:val="24"/>
        <w:szCs w:val="24"/>
      </w:rPr>
      <w:t>2019</w:t>
    </w:r>
    <w:r w:rsidR="00F36FA5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</w:t>
    </w:r>
    <w:proofErr w:type="gramEnd"/>
    <w:r w:rsidR="0077033E">
      <w:rPr>
        <w:b/>
        <w:sz w:val="24"/>
        <w:szCs w:val="24"/>
      </w:rPr>
      <w:br/>
    </w:r>
    <w:r w:rsidR="00EE5F72">
      <w:rPr>
        <w:b/>
        <w:sz w:val="24"/>
        <w:szCs w:val="24"/>
      </w:rPr>
      <w:t>Fixed Term</w:t>
    </w:r>
    <w:r w:rsidR="0077033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Teaching Faculty: Portfolio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F47"/>
    <w:multiLevelType w:val="multilevel"/>
    <w:tmpl w:val="51A459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59135BF"/>
    <w:multiLevelType w:val="multilevel"/>
    <w:tmpl w:val="301E71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6D96B41"/>
    <w:multiLevelType w:val="multilevel"/>
    <w:tmpl w:val="CDA237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6EE779C"/>
    <w:multiLevelType w:val="hybridMultilevel"/>
    <w:tmpl w:val="BC30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F1A8A"/>
    <w:multiLevelType w:val="hybridMultilevel"/>
    <w:tmpl w:val="9CFA8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603DF"/>
    <w:multiLevelType w:val="hybridMultilevel"/>
    <w:tmpl w:val="85384D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E31C0C"/>
    <w:multiLevelType w:val="multilevel"/>
    <w:tmpl w:val="7A4EA4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255902C4"/>
    <w:multiLevelType w:val="hybridMultilevel"/>
    <w:tmpl w:val="95685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C752A3"/>
    <w:multiLevelType w:val="multilevel"/>
    <w:tmpl w:val="FDAC3F2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702304B"/>
    <w:multiLevelType w:val="multilevel"/>
    <w:tmpl w:val="E5A443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289931B0"/>
    <w:multiLevelType w:val="multilevel"/>
    <w:tmpl w:val="E5A443DE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11" w15:restartNumberingAfterBreak="0">
    <w:nsid w:val="312A4C94"/>
    <w:multiLevelType w:val="multilevel"/>
    <w:tmpl w:val="3C3402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32726D74"/>
    <w:multiLevelType w:val="hybridMultilevel"/>
    <w:tmpl w:val="B5923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E0012"/>
    <w:multiLevelType w:val="hybridMultilevel"/>
    <w:tmpl w:val="E64A5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1A3094"/>
    <w:multiLevelType w:val="multilevel"/>
    <w:tmpl w:val="BCF0B2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39CE6146"/>
    <w:multiLevelType w:val="multilevel"/>
    <w:tmpl w:val="FFA650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3BEA3D92"/>
    <w:multiLevelType w:val="hybridMultilevel"/>
    <w:tmpl w:val="8FD21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90281"/>
    <w:multiLevelType w:val="hybridMultilevel"/>
    <w:tmpl w:val="98A0B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586D69"/>
    <w:multiLevelType w:val="multilevel"/>
    <w:tmpl w:val="E5A443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474F6C00"/>
    <w:multiLevelType w:val="multilevel"/>
    <w:tmpl w:val="E5A443DE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20" w15:restartNumberingAfterBreak="0">
    <w:nsid w:val="4AE56CC8"/>
    <w:multiLevelType w:val="hybridMultilevel"/>
    <w:tmpl w:val="F37C8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40C12"/>
    <w:multiLevelType w:val="multilevel"/>
    <w:tmpl w:val="7DDA73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5AEC4AF0"/>
    <w:multiLevelType w:val="multilevel"/>
    <w:tmpl w:val="E5A443DE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23" w15:restartNumberingAfterBreak="0">
    <w:nsid w:val="5B407F05"/>
    <w:multiLevelType w:val="hybridMultilevel"/>
    <w:tmpl w:val="4C10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64FA0"/>
    <w:multiLevelType w:val="multilevel"/>
    <w:tmpl w:val="FFF041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66E64271"/>
    <w:multiLevelType w:val="hybridMultilevel"/>
    <w:tmpl w:val="81866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877DDB"/>
    <w:multiLevelType w:val="multilevel"/>
    <w:tmpl w:val="14BE40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 w15:restartNumberingAfterBreak="0">
    <w:nsid w:val="679622C7"/>
    <w:multiLevelType w:val="multilevel"/>
    <w:tmpl w:val="CF8A6F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6E00459D"/>
    <w:multiLevelType w:val="multilevel"/>
    <w:tmpl w:val="9FB08E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9" w15:restartNumberingAfterBreak="0">
    <w:nsid w:val="6ED663D0"/>
    <w:multiLevelType w:val="multilevel"/>
    <w:tmpl w:val="B71072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 w15:restartNumberingAfterBreak="0">
    <w:nsid w:val="77570E3A"/>
    <w:multiLevelType w:val="multilevel"/>
    <w:tmpl w:val="DA00CC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7C592895"/>
    <w:multiLevelType w:val="hybridMultilevel"/>
    <w:tmpl w:val="3A1004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0"/>
  </w:num>
  <w:num w:numId="4">
    <w:abstractNumId w:val="21"/>
  </w:num>
  <w:num w:numId="5">
    <w:abstractNumId w:val="28"/>
  </w:num>
  <w:num w:numId="6">
    <w:abstractNumId w:val="9"/>
  </w:num>
  <w:num w:numId="7">
    <w:abstractNumId w:val="2"/>
  </w:num>
  <w:num w:numId="8">
    <w:abstractNumId w:val="30"/>
  </w:num>
  <w:num w:numId="9">
    <w:abstractNumId w:val="1"/>
  </w:num>
  <w:num w:numId="10">
    <w:abstractNumId w:val="3"/>
  </w:num>
  <w:num w:numId="11">
    <w:abstractNumId w:val="23"/>
  </w:num>
  <w:num w:numId="12">
    <w:abstractNumId w:val="10"/>
  </w:num>
  <w:num w:numId="13">
    <w:abstractNumId w:val="22"/>
  </w:num>
  <w:num w:numId="14">
    <w:abstractNumId w:val="19"/>
  </w:num>
  <w:num w:numId="15">
    <w:abstractNumId w:val="18"/>
  </w:num>
  <w:num w:numId="16">
    <w:abstractNumId w:val="12"/>
  </w:num>
  <w:num w:numId="17">
    <w:abstractNumId w:val="7"/>
  </w:num>
  <w:num w:numId="18">
    <w:abstractNumId w:val="13"/>
  </w:num>
  <w:num w:numId="19">
    <w:abstractNumId w:val="31"/>
  </w:num>
  <w:num w:numId="20">
    <w:abstractNumId w:val="5"/>
  </w:num>
  <w:num w:numId="21">
    <w:abstractNumId w:val="4"/>
  </w:num>
  <w:num w:numId="22">
    <w:abstractNumId w:val="20"/>
  </w:num>
  <w:num w:numId="23">
    <w:abstractNumId w:val="14"/>
  </w:num>
  <w:num w:numId="24">
    <w:abstractNumId w:val="26"/>
  </w:num>
  <w:num w:numId="25">
    <w:abstractNumId w:val="6"/>
  </w:num>
  <w:num w:numId="26">
    <w:abstractNumId w:val="15"/>
  </w:num>
  <w:num w:numId="27">
    <w:abstractNumId w:val="24"/>
  </w:num>
  <w:num w:numId="28">
    <w:abstractNumId w:val="11"/>
  </w:num>
  <w:num w:numId="29">
    <w:abstractNumId w:val="8"/>
  </w:num>
  <w:num w:numId="30">
    <w:abstractNumId w:val="17"/>
  </w:num>
  <w:num w:numId="31">
    <w:abstractNumId w:val="2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EwMDMzsbQwMTM3MjBU0lEKTi0uzszPAykwrwUAmLQH7ywAAAA="/>
  </w:docVars>
  <w:rsids>
    <w:rsidRoot w:val="00B567AB"/>
    <w:rsid w:val="000C78D2"/>
    <w:rsid w:val="000D1C2A"/>
    <w:rsid w:val="001056D6"/>
    <w:rsid w:val="001072D6"/>
    <w:rsid w:val="00246000"/>
    <w:rsid w:val="002A18A1"/>
    <w:rsid w:val="002F21B0"/>
    <w:rsid w:val="003A58D6"/>
    <w:rsid w:val="003B69D6"/>
    <w:rsid w:val="00432650"/>
    <w:rsid w:val="004807C7"/>
    <w:rsid w:val="004E601E"/>
    <w:rsid w:val="00506230"/>
    <w:rsid w:val="005D3D2B"/>
    <w:rsid w:val="00642DF9"/>
    <w:rsid w:val="006739F7"/>
    <w:rsid w:val="007633E4"/>
    <w:rsid w:val="00764B2C"/>
    <w:rsid w:val="0077033E"/>
    <w:rsid w:val="00774996"/>
    <w:rsid w:val="00776B7B"/>
    <w:rsid w:val="007F0B4E"/>
    <w:rsid w:val="00807D70"/>
    <w:rsid w:val="00932166"/>
    <w:rsid w:val="00943E30"/>
    <w:rsid w:val="00986779"/>
    <w:rsid w:val="009A2E1E"/>
    <w:rsid w:val="009C78F9"/>
    <w:rsid w:val="009E31B3"/>
    <w:rsid w:val="00A35FF2"/>
    <w:rsid w:val="00A819B8"/>
    <w:rsid w:val="00AE54A5"/>
    <w:rsid w:val="00B567AB"/>
    <w:rsid w:val="00B777A2"/>
    <w:rsid w:val="00BE05CC"/>
    <w:rsid w:val="00BE4BC8"/>
    <w:rsid w:val="00C0256E"/>
    <w:rsid w:val="00C84F32"/>
    <w:rsid w:val="00D1585E"/>
    <w:rsid w:val="00DB21C9"/>
    <w:rsid w:val="00DE78DE"/>
    <w:rsid w:val="00DF49CF"/>
    <w:rsid w:val="00E3310C"/>
    <w:rsid w:val="00E62F8C"/>
    <w:rsid w:val="00EE5667"/>
    <w:rsid w:val="00EE5F72"/>
    <w:rsid w:val="00F0127D"/>
    <w:rsid w:val="00F245E4"/>
    <w:rsid w:val="00F36FA5"/>
    <w:rsid w:val="00F8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DD962-B4F5-4AEC-AE1A-A2275A59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3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0C"/>
  </w:style>
  <w:style w:type="paragraph" w:styleId="Footer">
    <w:name w:val="footer"/>
    <w:basedOn w:val="Normal"/>
    <w:link w:val="FooterChar"/>
    <w:uiPriority w:val="99"/>
    <w:unhideWhenUsed/>
    <w:rsid w:val="00E3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0C"/>
  </w:style>
  <w:style w:type="paragraph" w:styleId="BalloonText">
    <w:name w:val="Balloon Text"/>
    <w:basedOn w:val="Normal"/>
    <w:link w:val="BalloonTextChar"/>
    <w:uiPriority w:val="99"/>
    <w:semiHidden/>
    <w:unhideWhenUsed/>
    <w:rsid w:val="00E3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7D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EOU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Mielke</dc:creator>
  <cp:lastModifiedBy>aadams</cp:lastModifiedBy>
  <cp:revision>2</cp:revision>
  <cp:lastPrinted>2017-05-03T17:16:00Z</cp:lastPrinted>
  <dcterms:created xsi:type="dcterms:W3CDTF">2019-05-17T22:59:00Z</dcterms:created>
  <dcterms:modified xsi:type="dcterms:W3CDTF">2019-05-17T22:59:00Z</dcterms:modified>
</cp:coreProperties>
</file>